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"/>
        <w:gridCol w:w="1716"/>
        <w:gridCol w:w="6665"/>
      </w:tblGrid>
      <w:tr w:rsidR="0046420F" w:rsidRPr="0046420F" w:rsidTr="0046420F">
        <w:trPr>
          <w:tblCellSpacing w:w="0" w:type="dxa"/>
          <w:jc w:val="center"/>
        </w:trPr>
        <w:tc>
          <w:tcPr>
            <w:tcW w:w="1761" w:type="dxa"/>
            <w:gridSpan w:val="2"/>
            <w:hideMark/>
          </w:tcPr>
          <w:p w:rsidR="0046420F" w:rsidRPr="0046420F" w:rsidRDefault="0046420F" w:rsidP="0046420F">
            <w:pPr>
              <w:widowControl/>
              <w:spacing w:line="280" w:lineRule="atLeast"/>
              <w:jc w:val="righ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法規名稱：</w:t>
            </w:r>
          </w:p>
        </w:tc>
        <w:tc>
          <w:tcPr>
            <w:tcW w:w="6665" w:type="dxa"/>
            <w:vAlign w:val="center"/>
            <w:hideMark/>
          </w:tcPr>
          <w:p w:rsidR="0046420F" w:rsidRPr="0046420F" w:rsidRDefault="0046420F" w:rsidP="0046420F">
            <w:pPr>
              <w:widowControl/>
              <w:spacing w:line="28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hyperlink r:id="rId5" w:history="1"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</w:rPr>
                <w:t>中央政府各機關珍貴動產不動產管理要點</w:t>
              </w:r>
            </w:hyperlink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420F" w:rsidRPr="0046420F" w:rsidTr="0046420F">
        <w:trPr>
          <w:tblCellSpacing w:w="0" w:type="dxa"/>
          <w:jc w:val="center"/>
        </w:trPr>
        <w:tc>
          <w:tcPr>
            <w:tcW w:w="1761" w:type="dxa"/>
            <w:gridSpan w:val="2"/>
            <w:hideMark/>
          </w:tcPr>
          <w:p w:rsidR="0046420F" w:rsidRPr="0046420F" w:rsidRDefault="0046420F" w:rsidP="0046420F">
            <w:pPr>
              <w:widowControl/>
              <w:spacing w:line="280" w:lineRule="atLeast"/>
              <w:jc w:val="righ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修正時間：</w:t>
            </w:r>
          </w:p>
        </w:tc>
        <w:tc>
          <w:tcPr>
            <w:tcW w:w="6665" w:type="dxa"/>
            <w:vAlign w:val="center"/>
            <w:hideMark/>
          </w:tcPr>
          <w:p w:rsidR="0046420F" w:rsidRPr="0046420F" w:rsidRDefault="0046420F" w:rsidP="0046420F">
            <w:pPr>
              <w:widowControl/>
              <w:spacing w:line="28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中華民國</w:t>
            </w: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098</w:t>
            </w: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年</w:t>
            </w: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月</w:t>
            </w: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16</w:t>
            </w:r>
            <w:r w:rsidRPr="0046420F"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一、為妥善管理國有珍貴動產、不動產，特訂定本要點。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二、中央政府各機關、學校及國營事業（以下簡稱各機關）對所管珍貴動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產、不動產，除法令另有規定者外，依照本要點之規定管理。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三、本要點所稱珍貴動產、不動產，係指經文化資產主管機關指定或登錄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為文化資產之動產、不動產，或具文化性、歷史性、藝術性或稀有性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之財物，經管理機關認定具有珍貴保存價值者，或因屬性認定有爭議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，陳經該管理機關之主管機關會同相關權責機關認定之財物。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前項珍貴動產之認定，不受財物標準分類所定財產要件金額一萬元以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上且使用年限在兩年以上之限制。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四、珍貴動產、不動產之取得方式如下：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（一）受贈。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（二）購買。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（三）交換。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（四）其他。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五、各機關為妥適管理珍貴動產、不動產，得設評審委員會，置主任委員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及委員，評審委員應具有所管珍貴動產、不動產之專業素養，其任務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為審議珍貴動產、不動產之認定、取得、估價、保管、維修、減少等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事宜。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六、珍貴動產、不動產之採購，應依政府採購法相關規定辦理。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七、珍貴動產於取得後，應即分類、編號、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攝照製卡建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檔及保管，並登記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於備有索引、照相、圖樣及其他便於查對之暗記紀錄等備查簿；備查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簿應永久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保存，以備檢核、查考之用。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lastRenderedPageBreak/>
              <w:t>八、各機關對借入、寄存之珍貴動產，應妥為登記、保管，並依限歸還。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九、珍貴不動產於取得後，應即分類、編號，辦理登記，並應備地圖、圖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樣等備查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簿；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備查簿應永久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保存，以備檢核、查考之用。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十、珍貴動產、不動產價值之登記，依下列規定：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（一）珍貴動產：依其取得之價格。但如因受贈、接收或取得價格無法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查明者，由管理機關估定之；無法估計其價值者，得僅記載經管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數量。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（二）珍貴不動產：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1.土地：按當期申報地價；未登記地按毗鄰已登記地申報地價列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帳，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俟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登記後按當期申報地價調整價格。但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土地係價購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、徵收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或有償撥用者，依其取得之價格。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俟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取得價格低於當期申報地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價時，再依申報地價調整價格。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2.土地改良物、房屋建築及設備：按建築支出費用或取得之價格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。但建築支出費用或取得價格無法查明者，依稅捐機關當期課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稅現值列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帳，無課稅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現值者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，由管理機關估定之；無法估計其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價值者，得僅記載經管數量。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十一、各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機關應衡酌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珍貴動產管理需要，訂定庫房、展覽、攝影、複印、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複製及外借管理等作業規定。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十二、各機關對所管珍貴動產、不動產，應依其性質及需要作定期或不定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期之維修。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十三、各機關欲將所管珍貴動產、不動產贈與、交換予其他公、私立機關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，應依國有財產法相關規定辦理。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十四、各機關對所管珍貴動產、不動產因報廢致減少時，管理單位應即辦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理減少之登記。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lastRenderedPageBreak/>
              <w:t>十五、各機關對所管珍貴動產、不動產之增減，應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按季依其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增減動態造具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珍貴動產、不動產增減表及增減結存表（如附表一、二），作為國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有財產增減表及增減結存表之附表，陳報主管機關。除公司組織之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國營事業外，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主管機關應彙轉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財政部國有財產局彙整。</w:t>
            </w:r>
          </w:p>
          <w:p w:rsidR="0046420F" w:rsidRPr="0046420F" w:rsidRDefault="0046420F" w:rsidP="0046420F">
            <w:pPr>
              <w:widowControl/>
              <w:spacing w:line="390" w:lineRule="atLeast"/>
              <w:ind w:firstLine="375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hyperlink r:id="rId6" w:history="1"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附表</w:t>
              </w:r>
              <w:proofErr w:type="gramStart"/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一</w:t>
              </w:r>
              <w:proofErr w:type="gramEnd"/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-</w:t>
              </w:r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珍貴動產不動產增減表</w:t>
              </w:r>
            </w:hyperlink>
          </w:p>
          <w:p w:rsidR="0046420F" w:rsidRPr="0046420F" w:rsidRDefault="0046420F" w:rsidP="0046420F">
            <w:pPr>
              <w:widowControl/>
              <w:spacing w:line="390" w:lineRule="atLeast"/>
              <w:ind w:firstLine="375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hyperlink r:id="rId7" w:history="1"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附表二</w:t>
              </w:r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-</w:t>
              </w:r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珍貴動產不動產增減結存表</w:t>
              </w:r>
            </w:hyperlink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十六、各機關對所管珍貴動產、不動產，應於每一會計年度終了時，編具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珍貴動產、不動產目錄及目錄總表（如附表三、四），連同國有財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產目錄及目錄總表，陳報主管機關彙轉財政部、中央主計機關及審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計機關，據以辦理中央政府總決算及總會計事宜。</w:t>
            </w:r>
          </w:p>
          <w:p w:rsidR="0046420F" w:rsidRPr="0046420F" w:rsidRDefault="0046420F" w:rsidP="0046420F">
            <w:pPr>
              <w:widowControl/>
              <w:spacing w:line="390" w:lineRule="atLeast"/>
              <w:ind w:firstLine="375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hyperlink r:id="rId8" w:history="1"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附表三</w:t>
              </w:r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-</w:t>
              </w:r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珍貴動產、不動產目錄</w:t>
              </w:r>
            </w:hyperlink>
          </w:p>
          <w:p w:rsidR="0046420F" w:rsidRPr="0046420F" w:rsidRDefault="0046420F" w:rsidP="0046420F">
            <w:pPr>
              <w:widowControl/>
              <w:spacing w:line="390" w:lineRule="atLeast"/>
              <w:ind w:firstLine="375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hyperlink r:id="rId9" w:history="1"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附表四</w:t>
              </w:r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-</w:t>
              </w:r>
              <w:r w:rsidRPr="0046420F">
                <w:rPr>
                  <w:rFonts w:ascii="Tahoma" w:eastAsia="新細明體" w:hAnsi="Tahoma" w:cs="Tahoma"/>
                  <w:color w:val="017CA5"/>
                  <w:kern w:val="0"/>
                  <w:sz w:val="18"/>
                  <w:szCs w:val="18"/>
                  <w:u w:val="single"/>
                </w:rPr>
                <w:t>珍貴動產不動產目錄總表</w:t>
              </w:r>
            </w:hyperlink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十七、各機關對其所管珍貴動產、不動產之管理，應作定期、不定期之檢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查及考核。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十八、珍貴動產、不動產之管理人員，對所保管之珍貴動產、不動產，遇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有遺失、毀損或其他意外事故而致損失時，應依審計法第五十八條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規定辦理。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十九、中央主計機關對各機關所管珍貴動產、不動產之管理情形，得視事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Tahoma" w:eastAsia="新細明體" w:hAnsi="Tahoma" w:cs="Tahoma"/>
                <w:color w:val="000000"/>
                <w:kern w:val="0"/>
                <w:sz w:val="18"/>
                <w:szCs w:val="18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實需要，會同相關機關隨時派員調查之。</w:t>
            </w:r>
          </w:p>
        </w:tc>
      </w:tr>
      <w:tr w:rsidR="0046420F" w:rsidRPr="0046420F" w:rsidTr="0046420F">
        <w:tblPrEx>
          <w:jc w:val="left"/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8381" w:type="dxa"/>
            <w:gridSpan w:val="2"/>
            <w:hideMark/>
          </w:tcPr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二十、地方政府經管國有珍貴動產、不動產，應依本要點之規定管理。</w:t>
            </w:r>
          </w:p>
          <w:p w:rsidR="0046420F" w:rsidRPr="0046420F" w:rsidRDefault="0046420F" w:rsidP="004642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/>
                <w:color w:val="000000"/>
                <w:kern w:val="0"/>
                <w:sz w:val="23"/>
                <w:szCs w:val="23"/>
              </w:rPr>
            </w:pPr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地方政府自有珍貴動產、不動產之管理，得</w:t>
            </w:r>
            <w:proofErr w:type="gramStart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準</w:t>
            </w:r>
            <w:proofErr w:type="gramEnd"/>
            <w:r w:rsidRPr="0046420F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用本要點之規定。</w:t>
            </w:r>
          </w:p>
        </w:tc>
      </w:tr>
    </w:tbl>
    <w:p w:rsidR="0046420F" w:rsidRPr="0046420F" w:rsidRDefault="0046420F" w:rsidP="0046420F">
      <w:pPr>
        <w:widowControl/>
        <w:spacing w:line="280" w:lineRule="atLeast"/>
        <w:rPr>
          <w:rFonts w:ascii="Tahoma" w:eastAsia="新細明體" w:hAnsi="Tahoma" w:cs="Tahoma"/>
          <w:color w:val="000000"/>
          <w:kern w:val="0"/>
          <w:sz w:val="18"/>
          <w:szCs w:val="18"/>
        </w:rPr>
      </w:pPr>
      <w:r>
        <w:rPr>
          <w:rFonts w:ascii="Tahoma" w:eastAsia="新細明體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953250" cy="47625"/>
            <wp:effectExtent l="19050" t="0" r="0" b="0"/>
            <wp:docPr id="12" name="圖片 12" descr="http://www.rootlaw.com.tw/images/body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ootlaw.com.tw/images/body0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55" w:rsidRDefault="00273155">
      <w:pPr>
        <w:rPr>
          <w:rFonts w:hint="eastAsia"/>
        </w:rPr>
      </w:pPr>
    </w:p>
    <w:sectPr w:rsidR="00273155" w:rsidSect="002731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F1217"/>
    <w:multiLevelType w:val="multilevel"/>
    <w:tmpl w:val="F88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20F"/>
    <w:rsid w:val="00273155"/>
    <w:rsid w:val="0046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20F"/>
    <w:rPr>
      <w:strike w:val="0"/>
      <w:dstrike w:val="0"/>
      <w:color w:val="017CA5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64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64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6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B9963"/>
                        <w:bottom w:val="none" w:sz="0" w:space="0" w:color="auto"/>
                        <w:right w:val="single" w:sz="6" w:space="0" w:color="AB9963"/>
                      </w:divBdr>
                      <w:divsChild>
                        <w:div w:id="17346197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3640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5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48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4800827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6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63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74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0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tlaw.com.tw/Attach/L-Doc/A040140021001700-0981016-16000-00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otlaw.com.tw/Attach/L-Doc/A040140021001700-0981016-15000-00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tlaw.com.tw/Attach/L-Doc/A040140021001700-0981016-15000-001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otlaw.com.tw/LawContent.aspx?LawID=A040140021001700-0981016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www.rootlaw.com.tw/Attach/L-Doc/A040140021001700-0981016-16000-004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2024</Characters>
  <Application>Microsoft Office Word</Application>
  <DocSecurity>0</DocSecurity>
  <Lines>16</Lines>
  <Paragraphs>4</Paragraphs>
  <ScaleCrop>false</ScaleCrop>
  <Company>保管組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2014-06-27T05:52:00Z</dcterms:created>
  <dcterms:modified xsi:type="dcterms:W3CDTF">2014-06-27T05:54:00Z</dcterms:modified>
</cp:coreProperties>
</file>